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7" w:type="dxa"/>
        <w:tblCellMar>
          <w:top w:w="15" w:type="dxa"/>
          <w:left w:w="15" w:type="dxa"/>
          <w:bottom w:w="15" w:type="dxa"/>
          <w:right w:w="15" w:type="dxa"/>
        </w:tblCellMar>
        <w:tblLook w:val="04A0"/>
      </w:tblPr>
      <w:tblGrid>
        <w:gridCol w:w="10800"/>
      </w:tblGrid>
      <w:tr w:rsidR="00433E25" w:rsidRPr="00433E25">
        <w:trPr>
          <w:tblCellSpacing w:w="7" w:type="dxa"/>
        </w:trPr>
        <w:tc>
          <w:tcPr>
            <w:tcW w:w="0" w:type="auto"/>
            <w:tcMar>
              <w:top w:w="63" w:type="dxa"/>
              <w:left w:w="0" w:type="dxa"/>
              <w:bottom w:w="38" w:type="dxa"/>
              <w:right w:w="0" w:type="dxa"/>
            </w:tcMar>
            <w:vAlign w:val="center"/>
            <w:hideMark/>
          </w:tcPr>
          <w:p w:rsidR="00433E25" w:rsidRPr="00433E25" w:rsidRDefault="00433E25" w:rsidP="00433E25">
            <w:pPr>
              <w:widowControl/>
              <w:jc w:val="center"/>
              <w:rPr>
                <w:rFonts w:ascii="微软雅黑" w:eastAsia="微软雅黑" w:hAnsi="微软雅黑" w:cs="宋体"/>
                <w:color w:val="DD0000"/>
                <w:kern w:val="0"/>
                <w:sz w:val="26"/>
                <w:szCs w:val="26"/>
              </w:rPr>
            </w:pPr>
            <w:r w:rsidRPr="00433E25">
              <w:rPr>
                <w:rFonts w:ascii="微软雅黑" w:eastAsia="微软雅黑" w:hAnsi="微软雅黑" w:cs="宋体" w:hint="eastAsia"/>
                <w:color w:val="DD0000"/>
                <w:kern w:val="0"/>
                <w:sz w:val="26"/>
                <w:szCs w:val="26"/>
              </w:rPr>
              <w:t xml:space="preserve">广州市市区水域市容环境卫生管理规定 </w:t>
            </w:r>
          </w:p>
        </w:tc>
      </w:tr>
      <w:tr w:rsidR="00433E25" w:rsidRPr="00433E25">
        <w:trPr>
          <w:tblCellSpacing w:w="7" w:type="dxa"/>
        </w:trPr>
        <w:tc>
          <w:tcPr>
            <w:tcW w:w="0" w:type="auto"/>
            <w:vAlign w:val="center"/>
            <w:hideMark/>
          </w:tcPr>
          <w:p w:rsidR="00433E25" w:rsidRPr="00433E25" w:rsidRDefault="00433E25" w:rsidP="00433E25">
            <w:pPr>
              <w:widowControl/>
              <w:jc w:val="center"/>
              <w:rPr>
                <w:rFonts w:ascii="����" w:eastAsia="宋体" w:hAnsi="����" w:cs="宋体" w:hint="eastAsia"/>
                <w:color w:val="333333"/>
                <w:kern w:val="0"/>
                <w:sz w:val="15"/>
                <w:szCs w:val="15"/>
              </w:rPr>
            </w:pPr>
            <w:r>
              <w:rPr>
                <w:rFonts w:ascii="����" w:eastAsia="宋体" w:hAnsi="����" w:cs="宋体" w:hint="eastAsia"/>
                <w:noProof/>
                <w:color w:val="333333"/>
                <w:kern w:val="0"/>
                <w:sz w:val="15"/>
                <w:szCs w:val="15"/>
              </w:rPr>
              <w:drawing>
                <wp:inline distT="0" distB="0" distL="0" distR="0">
                  <wp:extent cx="7617460" cy="15875"/>
                  <wp:effectExtent l="19050" t="0" r="2540" b="0"/>
                  <wp:docPr id="1" name="图片 1" descr="http://www.gzhwxh.com.cn/skin/style/images-common/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zhwxh.com.cn/skin/style/images-common/line.gif"/>
                          <pic:cNvPicPr>
                            <a:picLocks noChangeAspect="1" noChangeArrowheads="1"/>
                          </pic:cNvPicPr>
                        </pic:nvPicPr>
                        <pic:blipFill>
                          <a:blip r:embed="rId6"/>
                          <a:srcRect/>
                          <a:stretch>
                            <a:fillRect/>
                          </a:stretch>
                        </pic:blipFill>
                        <pic:spPr bwMode="auto">
                          <a:xfrm>
                            <a:off x="0" y="0"/>
                            <a:ext cx="7617460" cy="15875"/>
                          </a:xfrm>
                          <a:prstGeom prst="rect">
                            <a:avLst/>
                          </a:prstGeom>
                          <a:noFill/>
                          <a:ln w="9525">
                            <a:noFill/>
                            <a:miter lim="800000"/>
                            <a:headEnd/>
                            <a:tailEnd/>
                          </a:ln>
                        </pic:spPr>
                      </pic:pic>
                    </a:graphicData>
                  </a:graphic>
                </wp:inline>
              </w:drawing>
            </w:r>
          </w:p>
        </w:tc>
      </w:tr>
      <w:tr w:rsidR="00433E25" w:rsidRPr="00433E25">
        <w:trPr>
          <w:tblCellSpacing w:w="7" w:type="dxa"/>
        </w:trPr>
        <w:tc>
          <w:tcPr>
            <w:tcW w:w="0" w:type="auto"/>
            <w:tcMar>
              <w:top w:w="50" w:type="dxa"/>
              <w:left w:w="15" w:type="dxa"/>
              <w:bottom w:w="25" w:type="dxa"/>
              <w:right w:w="15" w:type="dxa"/>
            </w:tcMar>
            <w:vAlign w:val="center"/>
            <w:hideMark/>
          </w:tcPr>
          <w:p w:rsidR="00433E25" w:rsidRPr="00433E25" w:rsidRDefault="00433E25" w:rsidP="00433E25">
            <w:pPr>
              <w:widowControl/>
              <w:jc w:val="center"/>
              <w:rPr>
                <w:rFonts w:ascii="����" w:eastAsia="宋体" w:hAnsi="����" w:cs="宋体" w:hint="eastAsia"/>
                <w:color w:val="666666"/>
                <w:kern w:val="0"/>
                <w:sz w:val="15"/>
                <w:szCs w:val="15"/>
              </w:rPr>
            </w:pPr>
          </w:p>
        </w:tc>
      </w:tr>
      <w:tr w:rsidR="00433E25" w:rsidRPr="00433E25">
        <w:trPr>
          <w:tblCellSpacing w:w="7" w:type="dxa"/>
        </w:trPr>
        <w:tc>
          <w:tcPr>
            <w:tcW w:w="0" w:type="auto"/>
            <w:vAlign w:val="center"/>
            <w:hideMark/>
          </w:tcPr>
          <w:p w:rsidR="00433E25" w:rsidRPr="00433E25" w:rsidRDefault="00433E25" w:rsidP="00433E25">
            <w:pPr>
              <w:widowControl/>
              <w:jc w:val="center"/>
              <w:rPr>
                <w:rFonts w:ascii="����" w:eastAsia="宋体" w:hAnsi="����" w:cs="宋体" w:hint="eastAsia"/>
                <w:color w:val="333333"/>
                <w:kern w:val="0"/>
                <w:sz w:val="15"/>
                <w:szCs w:val="15"/>
              </w:rPr>
            </w:pPr>
            <w:r w:rsidRPr="00433E25">
              <w:rPr>
                <w:rFonts w:ascii="����" w:eastAsia="宋体" w:hAnsi="����" w:cs="宋体"/>
                <w:color w:val="333333"/>
                <w:kern w:val="0"/>
                <w:sz w:val="15"/>
                <w:szCs w:val="15"/>
              </w:rPr>
              <w:t> </w:t>
            </w:r>
          </w:p>
        </w:tc>
      </w:tr>
      <w:tr w:rsidR="00433E25" w:rsidRPr="00433E25">
        <w:trPr>
          <w:tblCellSpacing w:w="7" w:type="dxa"/>
        </w:trPr>
        <w:tc>
          <w:tcPr>
            <w:tcW w:w="0" w:type="auto"/>
            <w:vAlign w:val="center"/>
            <w:hideMark/>
          </w:tcPr>
          <w:p w:rsidR="00433E25" w:rsidRPr="00F75705" w:rsidRDefault="00433E25" w:rsidP="00F75705">
            <w:pPr>
              <w:widowControl/>
              <w:spacing w:before="100" w:beforeAutospacing="1" w:after="100" w:afterAutospacing="1" w:line="400" w:lineRule="exact"/>
              <w:ind w:firstLineChars="200" w:firstLine="560"/>
              <w:jc w:val="left"/>
              <w:rPr>
                <w:rFonts w:ascii="仿宋_GB2312" w:eastAsia="仿宋_GB2312" w:hAnsi="����" w:cs="宋体" w:hint="eastAsia"/>
                <w:color w:val="111111"/>
                <w:kern w:val="0"/>
                <w:sz w:val="28"/>
                <w:szCs w:val="28"/>
              </w:rPr>
            </w:pPr>
            <w:r w:rsidRPr="00F75705">
              <w:rPr>
                <w:rFonts w:ascii="仿宋_GB2312" w:eastAsia="仿宋_GB2312" w:hAnsi="����" w:cs="宋体" w:hint="eastAsia"/>
                <w:color w:val="111111"/>
                <w:kern w:val="0"/>
                <w:sz w:val="28"/>
                <w:szCs w:val="28"/>
              </w:rPr>
              <w:t>第一条：为了加强市区水域市容环境卫生管理工作，减少水体污染，根据《广州市城市市容和环境卫生管理规定》，制定本规定。</w:t>
            </w:r>
            <w:r w:rsidRPr="00F75705">
              <w:rPr>
                <w:rFonts w:ascii="仿宋_GB2312" w:eastAsia="仿宋_GB2312" w:hAnsi="����" w:cs="宋体" w:hint="eastAsia"/>
                <w:color w:val="111111"/>
                <w:kern w:val="0"/>
                <w:sz w:val="28"/>
                <w:szCs w:val="28"/>
              </w:rPr>
              <w:br/>
              <w:t xml:space="preserve">　　第二条：本规定所称的市区水域是指本市市区范围的江河、河涌、湖泊、水库等。</w:t>
            </w:r>
            <w:r w:rsidRPr="00F75705">
              <w:rPr>
                <w:rFonts w:ascii="仿宋_GB2312" w:eastAsia="仿宋_GB2312" w:hAnsi="����" w:cs="宋体" w:hint="eastAsia"/>
                <w:color w:val="111111"/>
                <w:kern w:val="0"/>
                <w:sz w:val="28"/>
                <w:szCs w:val="28"/>
              </w:rPr>
              <w:br/>
              <w:t xml:space="preserve">　　第三条：在市区水域范围及在其沿岸活动的一切单位和个人，均须遵守本规定。</w:t>
            </w:r>
            <w:r w:rsidRPr="00F75705">
              <w:rPr>
                <w:rFonts w:ascii="仿宋_GB2312" w:eastAsia="仿宋_GB2312" w:hAnsi="����" w:cs="宋体" w:hint="eastAsia"/>
                <w:color w:val="111111"/>
                <w:kern w:val="0"/>
                <w:sz w:val="28"/>
                <w:szCs w:val="28"/>
              </w:rPr>
              <w:br/>
              <w:t xml:space="preserve">　　第四条：广州市市容环境卫生行政管理部门主管市区水域市容环境卫生工作，负责本规定的组织实施以及对违反本规定的行为给予行政处罚；其珠江水上市容环境卫生管理机构负责具体管理工作。 环保、海事、港务、航务、市政、水利、海洋与水产等行政主管部门应当按照各自的职责，协同实施本规定。</w:t>
            </w:r>
            <w:r w:rsidRPr="00F75705">
              <w:rPr>
                <w:rFonts w:ascii="仿宋_GB2312" w:eastAsia="仿宋_GB2312" w:hAnsi="����" w:cs="宋体" w:hint="eastAsia"/>
                <w:color w:val="111111"/>
                <w:kern w:val="0"/>
                <w:sz w:val="28"/>
                <w:szCs w:val="28"/>
              </w:rPr>
              <w:br/>
              <w:t xml:space="preserve">　　第五条：一切单位和个人，有责任维护水域的市容环境卫生；有权制止和举报违反本规定的行为。</w:t>
            </w:r>
            <w:r w:rsidRPr="00F75705">
              <w:rPr>
                <w:rFonts w:ascii="仿宋_GB2312" w:eastAsia="仿宋_GB2312" w:hAnsi="����" w:cs="宋体" w:hint="eastAsia"/>
                <w:color w:val="111111"/>
                <w:kern w:val="0"/>
                <w:sz w:val="28"/>
                <w:szCs w:val="28"/>
              </w:rPr>
              <w:br/>
              <w:t xml:space="preserve">　　第六条：市区水域环境卫生按照下列规定实行区域责任制：</w:t>
            </w:r>
            <w:r w:rsidRPr="00F75705">
              <w:rPr>
                <w:rFonts w:ascii="仿宋_GB2312" w:eastAsia="仿宋_GB2312" w:hAnsi="����" w:cs="宋体" w:hint="eastAsia"/>
                <w:color w:val="111111"/>
                <w:kern w:val="0"/>
                <w:sz w:val="28"/>
                <w:szCs w:val="28"/>
              </w:rPr>
              <w:br/>
              <w:t xml:space="preserve">　　　　（一）河涌、湖泊、水库及使用临岸滩涂、水域的，由其管理单位负责。</w:t>
            </w:r>
            <w:r w:rsidRPr="00F75705">
              <w:rPr>
                <w:rFonts w:ascii="仿宋_GB2312" w:eastAsia="仿宋_GB2312" w:hAnsi="����" w:cs="宋体" w:hint="eastAsia"/>
                <w:color w:val="111111"/>
                <w:kern w:val="0"/>
                <w:sz w:val="28"/>
                <w:szCs w:val="28"/>
              </w:rPr>
              <w:br/>
              <w:t xml:space="preserve">　　　　（二）其它水域由水上市容环境卫生管理机构负责。</w:t>
            </w:r>
            <w:r w:rsidRPr="00F75705">
              <w:rPr>
                <w:rFonts w:ascii="仿宋_GB2312" w:eastAsia="仿宋_GB2312" w:hAnsi="����" w:cs="宋体" w:hint="eastAsia"/>
                <w:color w:val="111111"/>
                <w:kern w:val="0"/>
                <w:sz w:val="28"/>
                <w:szCs w:val="28"/>
              </w:rPr>
              <w:br/>
              <w:t xml:space="preserve">　　第七条：水域环境卫生责任区范围按下列规定划定：</w:t>
            </w:r>
            <w:r w:rsidRPr="00F75705">
              <w:rPr>
                <w:rFonts w:ascii="仿宋_GB2312" w:eastAsia="仿宋_GB2312" w:hAnsi="����" w:cs="宋体" w:hint="eastAsia"/>
                <w:color w:val="111111"/>
                <w:kern w:val="0"/>
                <w:sz w:val="28"/>
                <w:szCs w:val="28"/>
              </w:rPr>
              <w:br/>
              <w:t xml:space="preserve">　　　　（一）临岸滩涂从岸线起向水域延伸３０米，两侧至使用岸线的端点。</w:t>
            </w:r>
            <w:r w:rsidRPr="00F75705">
              <w:rPr>
                <w:rFonts w:ascii="仿宋_GB2312" w:eastAsia="仿宋_GB2312" w:hAnsi="����" w:cs="宋体" w:hint="eastAsia"/>
                <w:color w:val="111111"/>
                <w:kern w:val="0"/>
                <w:sz w:val="28"/>
                <w:szCs w:val="28"/>
              </w:rPr>
              <w:br/>
              <w:t xml:space="preserve">　　　　（二）建（构）筑物按其所占面积向水域各延伸５米范围。</w:t>
            </w:r>
            <w:r w:rsidRPr="00F75705">
              <w:rPr>
                <w:rFonts w:ascii="仿宋_GB2312" w:eastAsia="仿宋_GB2312" w:hAnsi="����" w:cs="宋体" w:hint="eastAsia"/>
                <w:color w:val="111111"/>
                <w:kern w:val="0"/>
                <w:sz w:val="28"/>
                <w:szCs w:val="28"/>
              </w:rPr>
              <w:br/>
              <w:t xml:space="preserve">　　第八条：在水域环境卫生责任区范围内，其责任单位应履行下列环境卫生责任：</w:t>
            </w:r>
            <w:r w:rsidRPr="00F75705">
              <w:rPr>
                <w:rFonts w:ascii="仿宋_GB2312" w:eastAsia="仿宋_GB2312" w:hAnsi="����" w:cs="宋体" w:hint="eastAsia"/>
                <w:color w:val="111111"/>
                <w:kern w:val="0"/>
                <w:sz w:val="28"/>
                <w:szCs w:val="28"/>
              </w:rPr>
              <w:br/>
              <w:t xml:space="preserve">　　　　（一）制定责任区水域保洁制度，配置相应的保洁工具、设施。未制定保洁制度或未配置保洁工具、设施的，责令其限期改正，并处以５００元罚款。</w:t>
            </w:r>
            <w:r w:rsidRPr="00F75705">
              <w:rPr>
                <w:rFonts w:ascii="仿宋_GB2312" w:eastAsia="仿宋_GB2312" w:hAnsi="����" w:cs="宋体" w:hint="eastAsia"/>
                <w:color w:val="111111"/>
                <w:kern w:val="0"/>
                <w:sz w:val="28"/>
                <w:szCs w:val="28"/>
              </w:rPr>
              <w:br/>
              <w:t xml:space="preserve">　　　　（二）定期打捞责任区内的漂浮垃圾，保持责任区水域整洁。违者，按积聚垃圾每平方米处以１００元罚款，不足１平方米的，按１平方米计算。</w:t>
            </w:r>
            <w:r w:rsidRPr="00F75705">
              <w:rPr>
                <w:rFonts w:ascii="仿宋_GB2312" w:eastAsia="仿宋_GB2312" w:hAnsi="����" w:cs="宋体" w:hint="eastAsia"/>
                <w:color w:val="111111"/>
                <w:kern w:val="0"/>
                <w:sz w:val="28"/>
                <w:szCs w:val="28"/>
              </w:rPr>
              <w:br/>
              <w:t xml:space="preserve">　　　　（三）劝告或者制止违反本规定的行为。</w:t>
            </w:r>
            <w:r w:rsidRPr="00F75705">
              <w:rPr>
                <w:rFonts w:ascii="仿宋_GB2312" w:eastAsia="仿宋_GB2312" w:hAnsi="����" w:cs="宋体" w:hint="eastAsia"/>
                <w:color w:val="111111"/>
                <w:kern w:val="0"/>
                <w:sz w:val="28"/>
                <w:szCs w:val="28"/>
              </w:rPr>
              <w:br/>
              <w:t xml:space="preserve">　　第九条：责任区内的漂浮垃圾，可委托有资质的水上环境卫生清洁服务单位进行有偿清除。</w:t>
            </w:r>
            <w:r w:rsidRPr="00F75705">
              <w:rPr>
                <w:rFonts w:ascii="仿宋_GB2312" w:eastAsia="仿宋_GB2312" w:hAnsi="����" w:cs="宋体" w:hint="eastAsia"/>
                <w:color w:val="111111"/>
                <w:kern w:val="0"/>
                <w:sz w:val="28"/>
                <w:szCs w:val="28"/>
              </w:rPr>
              <w:br/>
              <w:t xml:space="preserve">　　第十条：有下列行为之一的单位和个人，应当予以处罚：</w:t>
            </w:r>
            <w:r w:rsidRPr="00F75705">
              <w:rPr>
                <w:rFonts w:ascii="仿宋_GB2312" w:eastAsia="仿宋_GB2312" w:hAnsi="����" w:cs="宋体" w:hint="eastAsia"/>
                <w:color w:val="111111"/>
                <w:kern w:val="0"/>
                <w:sz w:val="28"/>
                <w:szCs w:val="28"/>
              </w:rPr>
              <w:br/>
              <w:t xml:space="preserve">　　　　（一）向水域乱丢瓜果皮核、纸屑、包装袋（盒）等废弃物以及便溺、倒粪便的，现场处以５０元罚款。</w:t>
            </w:r>
            <w:r w:rsidRPr="00F75705">
              <w:rPr>
                <w:rFonts w:ascii="仿宋_GB2312" w:eastAsia="仿宋_GB2312" w:hAnsi="����" w:cs="宋体" w:hint="eastAsia"/>
                <w:color w:val="111111"/>
                <w:kern w:val="0"/>
                <w:sz w:val="28"/>
                <w:szCs w:val="28"/>
              </w:rPr>
              <w:br/>
              <w:t xml:space="preserve">　　　　（二）向水域抛弃动物尸体的，禽类每只处以１００元，畜类每头处以１０００元罚款。</w:t>
            </w:r>
            <w:r w:rsidRPr="00F75705">
              <w:rPr>
                <w:rFonts w:ascii="仿宋_GB2312" w:eastAsia="仿宋_GB2312" w:hAnsi="����" w:cs="宋体" w:hint="eastAsia"/>
                <w:color w:val="111111"/>
                <w:kern w:val="0"/>
                <w:sz w:val="28"/>
                <w:szCs w:val="28"/>
              </w:rPr>
              <w:br/>
              <w:t xml:space="preserve">　　　　（三）向水域排放余泥渣土、垃圾、粪便的，每次处以１００００元以上３００００元以下罚款。</w:t>
            </w:r>
            <w:r w:rsidRPr="00F75705">
              <w:rPr>
                <w:rFonts w:ascii="仿宋_GB2312" w:eastAsia="仿宋_GB2312" w:hAnsi="����" w:cs="宋体" w:hint="eastAsia"/>
                <w:color w:val="111111"/>
                <w:kern w:val="0"/>
                <w:sz w:val="28"/>
                <w:szCs w:val="28"/>
              </w:rPr>
              <w:br/>
              <w:t xml:space="preserve">　　　　（四）在沿岸或滩涂放置影响市容环境卫生物品的，责令其限期改正，并按占地面积每平方米处以２００元罚款，不足１平方米的，按１平方米计算。</w:t>
            </w:r>
            <w:r w:rsidRPr="00F75705">
              <w:rPr>
                <w:rFonts w:ascii="仿宋_GB2312" w:eastAsia="仿宋_GB2312" w:hAnsi="����" w:cs="宋体" w:hint="eastAsia"/>
                <w:color w:val="111111"/>
                <w:kern w:val="0"/>
                <w:sz w:val="28"/>
                <w:szCs w:val="28"/>
              </w:rPr>
              <w:br/>
              <w:t xml:space="preserve">　　　　（五）在沿岸、水域建造直接排放粪便入水域的厕所的，责令其限期改正，并处以３０００元罚款。</w:t>
            </w:r>
            <w:r w:rsidRPr="00F75705">
              <w:rPr>
                <w:rFonts w:ascii="仿宋_GB2312" w:eastAsia="仿宋_GB2312" w:hAnsi="����" w:cs="宋体" w:hint="eastAsia"/>
                <w:color w:val="111111"/>
                <w:kern w:val="0"/>
                <w:sz w:val="28"/>
                <w:szCs w:val="28"/>
              </w:rPr>
              <w:br/>
            </w:r>
            <w:r w:rsidRPr="00F75705">
              <w:rPr>
                <w:rFonts w:ascii="仿宋_GB2312" w:eastAsia="仿宋_GB2312" w:hAnsi="����" w:cs="宋体" w:hint="eastAsia"/>
                <w:color w:val="111111"/>
                <w:kern w:val="0"/>
                <w:sz w:val="28"/>
                <w:szCs w:val="28"/>
              </w:rPr>
              <w:lastRenderedPageBreak/>
              <w:t xml:space="preserve">　　　　（六）船舶装卸和运输散体物料或生活废弃物等物料时向水域漏撒的，处以１０００元罚款。</w:t>
            </w:r>
            <w:r w:rsidRPr="00F75705">
              <w:rPr>
                <w:rFonts w:ascii="仿宋_GB2312" w:eastAsia="仿宋_GB2312" w:hAnsi="����" w:cs="宋体" w:hint="eastAsia"/>
                <w:color w:val="111111"/>
                <w:kern w:val="0"/>
                <w:sz w:val="28"/>
                <w:szCs w:val="28"/>
              </w:rPr>
              <w:br/>
              <w:t xml:space="preserve">　　　　（七）冲洗码头、船舶以及沿岸建（构）筑物时，把垃圾、渣土、沙石等冲（扫）到水域的，处以５００元罚款。</w:t>
            </w:r>
            <w:r w:rsidRPr="00F75705">
              <w:rPr>
                <w:rFonts w:ascii="仿宋_GB2312" w:eastAsia="仿宋_GB2312" w:hAnsi="����" w:cs="宋体" w:hint="eastAsia"/>
                <w:color w:val="111111"/>
                <w:kern w:val="0"/>
                <w:sz w:val="28"/>
                <w:szCs w:val="28"/>
              </w:rPr>
              <w:br/>
              <w:t xml:space="preserve">　　　　（八）损坏或擅自移动、拆除水上环境卫生设施、设备的，按《广州市城市市容和环境卫生管理规定》处罚。</w:t>
            </w:r>
            <w:r w:rsidRPr="00F75705">
              <w:rPr>
                <w:rFonts w:ascii="仿宋_GB2312" w:eastAsia="仿宋_GB2312" w:hAnsi="����" w:cs="宋体" w:hint="eastAsia"/>
                <w:color w:val="111111"/>
                <w:kern w:val="0"/>
                <w:sz w:val="28"/>
                <w:szCs w:val="28"/>
              </w:rPr>
              <w:br/>
              <w:t xml:space="preserve">　　第十一条：在水域范围内设置户外广告和张贴、悬挂宣传物品，应符合户外广告管理的有关规定，保持整洁美观。违者，按户外广告管理有关规定处罚。</w:t>
            </w:r>
            <w:r w:rsidRPr="00F75705">
              <w:rPr>
                <w:rFonts w:ascii="仿宋_GB2312" w:eastAsia="仿宋_GB2312" w:hAnsi="����" w:cs="宋体" w:hint="eastAsia"/>
                <w:color w:val="111111"/>
                <w:kern w:val="0"/>
                <w:sz w:val="28"/>
                <w:szCs w:val="28"/>
              </w:rPr>
              <w:br/>
              <w:t xml:space="preserve">　　第十二条：码头、船舶、趸船、浮趸应当配置与垃圾产生量相适应的容器，并按有关规定清除垃圾。未配置容器或未按有关规定清除垃圾的，处以５００元罚款。 客运船舶进入珠江市区河段时应停止使用直排式厕所。违者，处以５００元罚款。</w:t>
            </w:r>
            <w:r w:rsidRPr="00F75705">
              <w:rPr>
                <w:rFonts w:ascii="仿宋_GB2312" w:eastAsia="仿宋_GB2312" w:hAnsi="����" w:cs="宋体" w:hint="eastAsia"/>
                <w:color w:val="111111"/>
                <w:kern w:val="0"/>
                <w:sz w:val="28"/>
                <w:szCs w:val="28"/>
              </w:rPr>
              <w:br/>
              <w:t xml:space="preserve">　　第十三条：船舶、趸船、浮趸应外型完好，标志清晰，船体应经常清洗及清除苔垢，保持容貌整洁。</w:t>
            </w:r>
            <w:r w:rsidRPr="00F75705">
              <w:rPr>
                <w:rFonts w:ascii="仿宋_GB2312" w:eastAsia="仿宋_GB2312" w:hAnsi="����" w:cs="宋体" w:hint="eastAsia"/>
                <w:color w:val="111111"/>
                <w:kern w:val="0"/>
                <w:sz w:val="28"/>
                <w:szCs w:val="28"/>
              </w:rPr>
              <w:br/>
              <w:t xml:space="preserve">　　第十四条：凡在水域内经营漂浮垃圾打捞和生活垃圾、余泥渣土、粪便等废弃物的收集、运输、处置等业务的，应当经市市容环境卫生行政主管部门审核批准，领取环境卫生服务资质证书，并经工商登记方可营业。 不具备资质而从事水域环境卫生经营业务的，处以１００００元罚款。 任何单位和个人不得委托不具备环境卫生服务资质的经营者清运生活垃圾、余泥渣土、粪便等废弃物。违者，处以１０００元罚款。</w:t>
            </w:r>
            <w:r w:rsidRPr="00F75705">
              <w:rPr>
                <w:rFonts w:ascii="仿宋_GB2312" w:eastAsia="仿宋_GB2312" w:hAnsi="����" w:cs="宋体" w:hint="eastAsia"/>
                <w:color w:val="111111"/>
                <w:kern w:val="0"/>
                <w:sz w:val="28"/>
                <w:szCs w:val="28"/>
              </w:rPr>
              <w:br/>
              <w:t xml:space="preserve">　　第十五条：申领环境卫生服务资质证书的单位和个人，必须具备符合建设部《城市环境卫生设施设置标准》和《城市环境卫生质量标准》的设备设施，并应提交下列资料：</w:t>
            </w:r>
            <w:r w:rsidRPr="00F75705">
              <w:rPr>
                <w:rFonts w:ascii="仿宋_GB2312" w:eastAsia="仿宋_GB2312" w:hAnsi="����" w:cs="宋体" w:hint="eastAsia"/>
                <w:color w:val="111111"/>
                <w:kern w:val="0"/>
                <w:sz w:val="28"/>
                <w:szCs w:val="28"/>
              </w:rPr>
              <w:br/>
              <w:t xml:space="preserve">　　　　（一）单位名称、地址、法定代表人、联系电话、服务项目和废弃物收集、运输、处置的方式、工艺及其作业规范。</w:t>
            </w:r>
            <w:r w:rsidRPr="00F75705">
              <w:rPr>
                <w:rFonts w:ascii="仿宋_GB2312" w:eastAsia="仿宋_GB2312" w:hAnsi="����" w:cs="宋体" w:hint="eastAsia"/>
                <w:color w:val="111111"/>
                <w:kern w:val="0"/>
                <w:sz w:val="28"/>
                <w:szCs w:val="28"/>
              </w:rPr>
              <w:br/>
              <w:t xml:space="preserve">　　　　（二）装载工具或收集容器的防漏撒设备及其技术性能。</w:t>
            </w:r>
            <w:r w:rsidRPr="00F75705">
              <w:rPr>
                <w:rFonts w:ascii="仿宋_GB2312" w:eastAsia="仿宋_GB2312" w:hAnsi="����" w:cs="宋体" w:hint="eastAsia"/>
                <w:color w:val="111111"/>
                <w:kern w:val="0"/>
                <w:sz w:val="28"/>
                <w:szCs w:val="28"/>
              </w:rPr>
              <w:br/>
              <w:t xml:space="preserve">　　　　（三）垃圾收集船、水上垃圾打捞船的船舱技术及船检部门颁发的有关证件。</w:t>
            </w:r>
            <w:r w:rsidRPr="00F75705">
              <w:rPr>
                <w:rFonts w:ascii="仿宋_GB2312" w:eastAsia="仿宋_GB2312" w:hAnsi="����" w:cs="宋体" w:hint="eastAsia"/>
                <w:color w:val="111111"/>
                <w:kern w:val="0"/>
                <w:sz w:val="28"/>
                <w:szCs w:val="28"/>
              </w:rPr>
              <w:br/>
              <w:t xml:space="preserve">　　　　（四）废弃物处置设施、设备的有关技术。</w:t>
            </w:r>
            <w:r w:rsidRPr="00F75705">
              <w:rPr>
                <w:rFonts w:ascii="仿宋_GB2312" w:eastAsia="仿宋_GB2312" w:hAnsi="����" w:cs="宋体" w:hint="eastAsia"/>
                <w:color w:val="111111"/>
                <w:kern w:val="0"/>
                <w:sz w:val="28"/>
                <w:szCs w:val="28"/>
              </w:rPr>
              <w:br/>
              <w:t xml:space="preserve">　　　　（五）环保部门对有关设施建设环境影响报告书的审批意见。</w:t>
            </w:r>
            <w:r w:rsidRPr="00F75705">
              <w:rPr>
                <w:rFonts w:ascii="仿宋_GB2312" w:eastAsia="仿宋_GB2312" w:hAnsi="����" w:cs="宋体" w:hint="eastAsia"/>
                <w:color w:val="111111"/>
                <w:kern w:val="0"/>
                <w:sz w:val="28"/>
                <w:szCs w:val="28"/>
              </w:rPr>
              <w:br/>
              <w:t xml:space="preserve">　　第十六条：市市容环境卫生行政主管部门对申领环境卫生服务资质证的，自受理之日起１０个工作日内予以批复，符合条件的，发给资质证书。 环境卫生服务资质证书，每年审验一次。</w:t>
            </w:r>
            <w:r w:rsidRPr="00F75705">
              <w:rPr>
                <w:rFonts w:ascii="仿宋_GB2312" w:eastAsia="仿宋_GB2312" w:hAnsi="����" w:cs="宋体" w:hint="eastAsia"/>
                <w:color w:val="111111"/>
                <w:kern w:val="0"/>
                <w:sz w:val="28"/>
                <w:szCs w:val="28"/>
              </w:rPr>
              <w:br/>
              <w:t xml:space="preserve">　　第十七条：违反本规定，涉及环保、海事、港务、航务、水利、市政、海洋与水产等行政管理的，由相关行政部门依法处罚。</w:t>
            </w:r>
            <w:r w:rsidRPr="00F75705">
              <w:rPr>
                <w:rFonts w:ascii="仿宋_GB2312" w:eastAsia="仿宋_GB2312" w:hAnsi="����" w:cs="宋体" w:hint="eastAsia"/>
                <w:color w:val="111111"/>
                <w:kern w:val="0"/>
                <w:sz w:val="28"/>
                <w:szCs w:val="28"/>
              </w:rPr>
              <w:br/>
              <w:t xml:space="preserve">　　第十八条：县级市水域市容环境卫生管理可参照本规定执行。</w:t>
            </w:r>
            <w:r w:rsidRPr="00F75705">
              <w:rPr>
                <w:rFonts w:ascii="仿宋_GB2312" w:eastAsia="仿宋_GB2312" w:hAnsi="����" w:cs="宋体" w:hint="eastAsia"/>
                <w:color w:val="111111"/>
                <w:kern w:val="0"/>
                <w:sz w:val="28"/>
                <w:szCs w:val="28"/>
              </w:rPr>
              <w:br/>
              <w:t xml:space="preserve">　　第十九条：本规定自２０００年７月１日起施行。　</w:t>
            </w:r>
          </w:p>
        </w:tc>
      </w:tr>
    </w:tbl>
    <w:p w:rsidR="008503BB" w:rsidRPr="00433E25" w:rsidRDefault="008503BB"/>
    <w:sectPr w:rsidR="008503BB" w:rsidRPr="00433E25" w:rsidSect="006B227E">
      <w:pgSz w:w="11906" w:h="16838" w:code="9"/>
      <w:pgMar w:top="567" w:right="567" w:bottom="567"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405" w:rsidRDefault="00CF1405" w:rsidP="006B227E">
      <w:r>
        <w:separator/>
      </w:r>
    </w:p>
  </w:endnote>
  <w:endnote w:type="continuationSeparator" w:id="1">
    <w:p w:rsidR="00CF1405" w:rsidRDefault="00CF1405" w:rsidP="006B22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405" w:rsidRDefault="00CF1405" w:rsidP="006B227E">
      <w:r>
        <w:separator/>
      </w:r>
    </w:p>
  </w:footnote>
  <w:footnote w:type="continuationSeparator" w:id="1">
    <w:p w:rsidR="00CF1405" w:rsidRDefault="00CF1405" w:rsidP="006B22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227E"/>
    <w:rsid w:val="001A4CA6"/>
    <w:rsid w:val="00433E25"/>
    <w:rsid w:val="006B227E"/>
    <w:rsid w:val="008503BB"/>
    <w:rsid w:val="009525EA"/>
    <w:rsid w:val="009867B2"/>
    <w:rsid w:val="00CF1405"/>
    <w:rsid w:val="00F757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5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22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227E"/>
    <w:rPr>
      <w:sz w:val="18"/>
      <w:szCs w:val="18"/>
    </w:rPr>
  </w:style>
  <w:style w:type="paragraph" w:styleId="a4">
    <w:name w:val="footer"/>
    <w:basedOn w:val="a"/>
    <w:link w:val="Char0"/>
    <w:uiPriority w:val="99"/>
    <w:semiHidden/>
    <w:unhideWhenUsed/>
    <w:rsid w:val="006B227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B227E"/>
    <w:rPr>
      <w:sz w:val="18"/>
      <w:szCs w:val="18"/>
    </w:rPr>
  </w:style>
  <w:style w:type="paragraph" w:styleId="a5">
    <w:name w:val="Normal (Web)"/>
    <w:basedOn w:val="a"/>
    <w:uiPriority w:val="99"/>
    <w:unhideWhenUsed/>
    <w:rsid w:val="00433E25"/>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433E25"/>
    <w:rPr>
      <w:sz w:val="18"/>
      <w:szCs w:val="18"/>
    </w:rPr>
  </w:style>
  <w:style w:type="character" w:customStyle="1" w:styleId="Char1">
    <w:name w:val="批注框文本 Char"/>
    <w:basedOn w:val="a0"/>
    <w:link w:val="a6"/>
    <w:uiPriority w:val="99"/>
    <w:semiHidden/>
    <w:rsid w:val="00433E25"/>
    <w:rPr>
      <w:sz w:val="18"/>
      <w:szCs w:val="18"/>
    </w:rPr>
  </w:style>
</w:styles>
</file>

<file path=word/webSettings.xml><?xml version="1.0" encoding="utf-8"?>
<w:webSettings xmlns:r="http://schemas.openxmlformats.org/officeDocument/2006/relationships" xmlns:w="http://schemas.openxmlformats.org/wordprocessingml/2006/main">
  <w:divs>
    <w:div w:id="1780682827">
      <w:bodyDiv w:val="1"/>
      <w:marLeft w:val="0"/>
      <w:marRight w:val="0"/>
      <w:marTop w:val="0"/>
      <w:marBottom w:val="0"/>
      <w:divBdr>
        <w:top w:val="none" w:sz="0" w:space="0" w:color="auto"/>
        <w:left w:val="none" w:sz="0" w:space="0" w:color="auto"/>
        <w:bottom w:val="none" w:sz="0" w:space="0" w:color="auto"/>
        <w:right w:val="none" w:sz="0" w:space="0" w:color="auto"/>
      </w:divBdr>
      <w:divsChild>
        <w:div w:id="984620757">
          <w:marLeft w:val="0"/>
          <w:marRight w:val="0"/>
          <w:marTop w:val="0"/>
          <w:marBottom w:val="0"/>
          <w:divBdr>
            <w:top w:val="none" w:sz="0" w:space="0" w:color="auto"/>
            <w:left w:val="none" w:sz="0" w:space="0" w:color="auto"/>
            <w:bottom w:val="none" w:sz="0" w:space="0" w:color="auto"/>
            <w:right w:val="none" w:sz="0" w:space="0" w:color="auto"/>
          </w:divBdr>
          <w:divsChild>
            <w:div w:id="1775903608">
              <w:marLeft w:val="0"/>
              <w:marRight w:val="0"/>
              <w:marTop w:val="0"/>
              <w:marBottom w:val="0"/>
              <w:divBdr>
                <w:top w:val="none" w:sz="0" w:space="0" w:color="auto"/>
                <w:left w:val="none" w:sz="0" w:space="0" w:color="auto"/>
                <w:bottom w:val="none" w:sz="0" w:space="0" w:color="auto"/>
                <w:right w:val="none" w:sz="0" w:space="0" w:color="auto"/>
              </w:divBdr>
              <w:divsChild>
                <w:div w:id="17864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7</cp:revision>
  <dcterms:created xsi:type="dcterms:W3CDTF">2017-12-29T06:00:00Z</dcterms:created>
  <dcterms:modified xsi:type="dcterms:W3CDTF">2018-01-05T09:41:00Z</dcterms:modified>
</cp:coreProperties>
</file>